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12E8" w14:textId="77777777" w:rsidR="004922FC" w:rsidRPr="00400752" w:rsidRDefault="004922FC" w:rsidP="007A009F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8330" w:type="dxa"/>
        <w:tblBorders>
          <w:insideH w:val="single" w:sz="12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330"/>
      </w:tblGrid>
      <w:tr w:rsidR="004E5327" w:rsidRPr="00400752" w14:paraId="0FC9F975" w14:textId="77777777" w:rsidTr="004E5327">
        <w:tc>
          <w:tcPr>
            <w:tcW w:w="8330" w:type="dxa"/>
            <w:shd w:val="clear" w:color="auto" w:fill="auto"/>
          </w:tcPr>
          <w:p w14:paraId="1BEC301D" w14:textId="144726FF" w:rsidR="004E5327" w:rsidRPr="00400752" w:rsidRDefault="004E5327" w:rsidP="006838E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00752">
              <w:rPr>
                <w:rFonts w:ascii="Times New Roman" w:hAnsi="Times New Roman"/>
                <w:b/>
                <w:sz w:val="24"/>
                <w:szCs w:val="24"/>
              </w:rPr>
              <w:t xml:space="preserve">Декларация о рисках, связанных с </w:t>
            </w:r>
            <w:r w:rsidR="007A009F" w:rsidRPr="00400752">
              <w:rPr>
                <w:rFonts w:ascii="Times New Roman" w:hAnsi="Times New Roman"/>
                <w:b/>
                <w:sz w:val="24"/>
                <w:szCs w:val="24"/>
              </w:rPr>
              <w:t xml:space="preserve">заключением договоров, являющихся </w:t>
            </w:r>
            <w:r w:rsidRPr="00400752">
              <w:rPr>
                <w:rFonts w:ascii="Times New Roman" w:hAnsi="Times New Roman"/>
                <w:b/>
                <w:sz w:val="24"/>
                <w:szCs w:val="24"/>
              </w:rPr>
              <w:t>производными финансовыми инструментами</w:t>
            </w:r>
          </w:p>
          <w:p w14:paraId="4EFE8693" w14:textId="77777777" w:rsidR="002757E3" w:rsidRPr="00400752" w:rsidRDefault="002757E3" w:rsidP="002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157D9E88" w14:textId="5BFE44F8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Цель настоящей </w:t>
            </w:r>
            <w:r w:rsidR="007A009F" w:rsidRPr="00400752">
              <w:rPr>
                <w:rFonts w:ascii="Times New Roman" w:hAnsi="Times New Roman"/>
                <w:sz w:val="24"/>
                <w:szCs w:val="24"/>
              </w:rPr>
              <w:t>д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екларации — предоставить </w:t>
            </w:r>
            <w:r w:rsidR="00EF57C9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ам информацию об основных рисках, связанных</w:t>
            </w:r>
            <w:r w:rsidR="007A009F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7A009F" w:rsidRPr="00400752">
              <w:rPr>
                <w:rFonts w:ascii="Times New Roman" w:hAnsi="Times New Roman"/>
                <w:sz w:val="24"/>
                <w:szCs w:val="24"/>
              </w:rPr>
              <w:t xml:space="preserve">договорами, являющимися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производными финансовыми инструментами.</w:t>
            </w:r>
          </w:p>
          <w:p w14:paraId="0F3774D1" w14:textId="1710DE95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>Данные инструменты (фьючерсы, форварды, опционы, свопы и др.) подходят не всем клиентам</w:t>
            </w:r>
            <w:r w:rsidR="00FD6DD7" w:rsidRPr="00400752">
              <w:rPr>
                <w:rFonts w:ascii="Times New Roman" w:hAnsi="Times New Roman"/>
                <w:sz w:val="24"/>
                <w:szCs w:val="24"/>
              </w:rPr>
              <w:t>, поскольку сопряжены с дополнительными рисками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. Более того, некоторые виды 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 xml:space="preserve">стратегий с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производны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>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финансовы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>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9E0" w:rsidRPr="00400752">
              <w:rPr>
                <w:rFonts w:ascii="Times New Roman" w:hAnsi="Times New Roman"/>
                <w:sz w:val="24"/>
                <w:szCs w:val="24"/>
              </w:rPr>
              <w:t>(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 xml:space="preserve">например, необеспеченная </w:t>
            </w:r>
            <w:r w:rsidR="00F969E0" w:rsidRPr="00400752">
              <w:rPr>
                <w:rFonts w:ascii="Times New Roman" w:hAnsi="Times New Roman"/>
                <w:sz w:val="24"/>
                <w:szCs w:val="24"/>
              </w:rPr>
              <w:t xml:space="preserve">продажа опционных контрактов)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сопряжены с </w:t>
            </w:r>
            <w:r w:rsidR="00AD3B92" w:rsidRPr="00400752">
              <w:rPr>
                <w:rFonts w:ascii="Times New Roman" w:hAnsi="Times New Roman"/>
                <w:sz w:val="24"/>
                <w:szCs w:val="24"/>
              </w:rPr>
              <w:t>большим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уровнем риска, чем другие. </w:t>
            </w:r>
          </w:p>
          <w:p w14:paraId="5D892C3F" w14:textId="727CE3CC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Настоящая декларация относится также и к </w:t>
            </w:r>
            <w:r w:rsidR="00771C32">
              <w:rPr>
                <w:rFonts w:ascii="Times New Roman" w:hAnsi="Times New Roman"/>
                <w:sz w:val="24"/>
                <w:szCs w:val="24"/>
              </w:rPr>
              <w:t xml:space="preserve">операциям, связанным с использованием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производны</w:t>
            </w:r>
            <w:r w:rsidR="00771C32">
              <w:rPr>
                <w:rFonts w:ascii="Times New Roman" w:hAnsi="Times New Roman"/>
                <w:sz w:val="24"/>
                <w:szCs w:val="24"/>
              </w:rPr>
              <w:t>х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финансовы</w:t>
            </w:r>
            <w:r w:rsidR="00771C32">
              <w:rPr>
                <w:rFonts w:ascii="Times New Roman" w:hAnsi="Times New Roman"/>
                <w:sz w:val="24"/>
                <w:szCs w:val="24"/>
              </w:rPr>
              <w:t>х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 w:rsidR="00771C32">
              <w:rPr>
                <w:rFonts w:ascii="Times New Roman" w:hAnsi="Times New Roman"/>
                <w:sz w:val="24"/>
                <w:szCs w:val="24"/>
              </w:rPr>
              <w:t xml:space="preserve">ов в целях хеджирования, то есть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771C32">
              <w:rPr>
                <w:rFonts w:ascii="Times New Roman" w:hAnsi="Times New Roman"/>
                <w:sz w:val="24"/>
                <w:szCs w:val="24"/>
              </w:rPr>
              <w:t>я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рисков других операций на фондовом рынке. </w:t>
            </w:r>
          </w:p>
          <w:p w14:paraId="7273612C" w14:textId="0956B166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17FBD227" w14:textId="77777777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. Риски финансового «плеча»</w:t>
            </w:r>
          </w:p>
          <w:p w14:paraId="32B9F258" w14:textId="77777777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292DB15" w14:textId="42E89BA6" w:rsidR="00D65723" w:rsidRPr="00400752" w:rsidRDefault="008239E6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Для того, чтобы открыть позицию по производному финансовому инструменту Вам необходимо иметь только часть стоимости соответствующего контракта (гарантийное обеспечение), а не всю сумму целиком. При этом возникает «эффект плеча», который увеличивает как </w:t>
            </w:r>
            <w:r w:rsidR="00B340C6">
              <w:rPr>
                <w:rFonts w:ascii="Times New Roman" w:hAnsi="Times New Roman"/>
                <w:sz w:val="24"/>
                <w:szCs w:val="24"/>
              </w:rPr>
              <w:t>возможный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доход, так и возможные убытки.</w:t>
            </w:r>
          </w:p>
          <w:p w14:paraId="76EB888C" w14:textId="4F5C904B" w:rsidR="00D65723" w:rsidRPr="00400752" w:rsidRDefault="00AD3B92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>Клиринговая организация</w:t>
            </w:r>
            <w:r w:rsidR="00B340C6">
              <w:rPr>
                <w:rFonts w:ascii="Times New Roman" w:hAnsi="Times New Roman"/>
                <w:sz w:val="24"/>
                <w:szCs w:val="24"/>
              </w:rPr>
              <w:t xml:space="preserve"> и брокер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 xml:space="preserve"> ограничива</w:t>
            </w:r>
            <w:r w:rsidR="00B340C6">
              <w:rPr>
                <w:rFonts w:ascii="Times New Roman" w:hAnsi="Times New Roman"/>
                <w:sz w:val="24"/>
                <w:szCs w:val="24"/>
              </w:rPr>
              <w:t>ю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 xml:space="preserve">т риски </w:t>
            </w:r>
            <w:r w:rsidR="00B340C6">
              <w:rPr>
                <w:rFonts w:ascii="Times New Roman" w:hAnsi="Times New Roman"/>
                <w:sz w:val="24"/>
                <w:szCs w:val="24"/>
              </w:rPr>
              <w:t>инвесторов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8239E6" w:rsidRPr="00400752">
              <w:rPr>
                <w:rFonts w:ascii="Times New Roman" w:hAnsi="Times New Roman"/>
                <w:sz w:val="24"/>
                <w:szCs w:val="24"/>
              </w:rPr>
              <w:t>производным финансовым инструментам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>, в том числе регулируя «плечо» —</w:t>
            </w:r>
            <w:r w:rsidR="008239E6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рассчитывая размер гарантийного обеспечения, 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>однако даже в пределах</w:t>
            </w:r>
            <w:r w:rsidR="00116062" w:rsidRPr="00400752">
              <w:rPr>
                <w:rFonts w:ascii="Times New Roman" w:hAnsi="Times New Roman"/>
                <w:sz w:val="24"/>
                <w:szCs w:val="24"/>
              </w:rPr>
              <w:t xml:space="preserve"> этих ограничений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 xml:space="preserve"> Вы должны учитывать, что величина </w:t>
            </w:r>
            <w:r w:rsidR="002E0772" w:rsidRPr="00400752">
              <w:rPr>
                <w:rFonts w:ascii="Times New Roman" w:hAnsi="Times New Roman"/>
                <w:sz w:val="24"/>
                <w:szCs w:val="24"/>
              </w:rPr>
              <w:t>убытк</w:t>
            </w:r>
            <w:r w:rsidR="00B83D2C" w:rsidRPr="00400752">
              <w:rPr>
                <w:rFonts w:ascii="Times New Roman" w:hAnsi="Times New Roman"/>
                <w:sz w:val="24"/>
                <w:szCs w:val="24"/>
              </w:rPr>
              <w:t>ов</w:t>
            </w:r>
            <w:r w:rsidR="002E0772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5723" w:rsidRPr="00400752">
              <w:rPr>
                <w:rFonts w:ascii="Times New Roman" w:hAnsi="Times New Roman"/>
                <w:sz w:val="24"/>
                <w:szCs w:val="24"/>
              </w:rPr>
              <w:t>в случае неблагоприятного изменения цен тем больше, чем больше «плечо».</w:t>
            </w:r>
          </w:p>
          <w:p w14:paraId="44E24D7B" w14:textId="4219D1BD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Имущество (часть имущества), принадлежащее Вам, </w:t>
            </w:r>
            <w:r w:rsidR="00CD0200">
              <w:rPr>
                <w:rFonts w:ascii="Times New Roman" w:hAnsi="Times New Roman"/>
                <w:sz w:val="24"/>
                <w:szCs w:val="24"/>
              </w:rPr>
              <w:t xml:space="preserve">в результате заключения договоров, являющихся производными финансовыми инструментами,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будет являться обеспечением исполнения обязательств по </w:t>
            </w:r>
            <w:r w:rsidR="008239E6" w:rsidRPr="00400752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CD0200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и распоряжение им, то есть возможность совершения Вами сделок с ним, будет ограничено. Размер обеспечения изменяется в зависимости от изменения рыночных цен на </w:t>
            </w:r>
            <w:r w:rsidR="00CD0200">
              <w:rPr>
                <w:rFonts w:ascii="Times New Roman" w:hAnsi="Times New Roman"/>
                <w:sz w:val="24"/>
                <w:szCs w:val="24"/>
              </w:rPr>
              <w:t xml:space="preserve">базовые активы производных финансовых </w:t>
            </w:r>
            <w:r w:rsidR="00CD0200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</w:t>
            </w:r>
            <w:r w:rsidR="008239E6" w:rsidRPr="004007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в результате Вы можете быть ограничены в возможности распоряжаться Вашим имуществом в большей степени, чем </w:t>
            </w:r>
            <w:r w:rsidR="00CD0200">
              <w:rPr>
                <w:rFonts w:ascii="Times New Roman" w:hAnsi="Times New Roman"/>
                <w:sz w:val="24"/>
                <w:szCs w:val="24"/>
              </w:rPr>
              <w:t>в момент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39E6" w:rsidRPr="00400752">
              <w:rPr>
                <w:rFonts w:ascii="Times New Roman" w:hAnsi="Times New Roman"/>
                <w:sz w:val="24"/>
                <w:szCs w:val="24"/>
              </w:rPr>
              <w:t>заключения договора</w:t>
            </w:r>
            <w:r w:rsidR="00CD0200">
              <w:rPr>
                <w:rFonts w:ascii="Times New Roman" w:hAnsi="Times New Roman"/>
                <w:sz w:val="24"/>
                <w:szCs w:val="24"/>
              </w:rPr>
              <w:t>, являющегося производным финансовым инструмен</w:t>
            </w:r>
            <w:bookmarkStart w:id="0" w:name="_GoBack"/>
            <w:bookmarkEnd w:id="0"/>
            <w:r w:rsidR="00CD0200">
              <w:rPr>
                <w:rFonts w:ascii="Times New Roman" w:hAnsi="Times New Roman"/>
                <w:sz w:val="24"/>
                <w:szCs w:val="24"/>
              </w:rPr>
              <w:t>том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C353CE" w14:textId="77777777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872E3CC" w14:textId="77777777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. Риск принудительного закрытия позиции </w:t>
            </w:r>
          </w:p>
          <w:p w14:paraId="2A99DA69" w14:textId="77777777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BE151C3" w14:textId="77777777" w:rsidR="00105B85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Клиринговые организации и брокеры должны управлять рисками и в некоторых случаях могут потребовать внести дополнительные денежные средства чтобы </w:t>
            </w:r>
            <w:r w:rsidR="00116062" w:rsidRPr="00400752">
              <w:rPr>
                <w:rFonts w:ascii="Times New Roman" w:hAnsi="Times New Roman"/>
                <w:sz w:val="24"/>
                <w:szCs w:val="24"/>
              </w:rPr>
              <w:t>повысить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6062" w:rsidRPr="00400752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 w:rsidR="00116062" w:rsidRPr="00400752">
              <w:rPr>
                <w:rFonts w:ascii="Times New Roman" w:hAnsi="Times New Roman"/>
                <w:sz w:val="24"/>
                <w:szCs w:val="24"/>
              </w:rPr>
              <w:t>я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, что должно быть сделано в короткий срок, который может быть недостаточен для Вас</w:t>
            </w:r>
            <w:r w:rsidR="00105B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5CA4B1" w14:textId="7097853F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Нормативные акты, условия договора о брокерском обслуживании или правил клиринга позволяют брокеру или клиринговой организации без Вашего согласия принудительно закрыть позицию. Это может быть сделано по существующим в этот момент, в том числе невыгодным</w:t>
            </w:r>
            <w:r w:rsidR="005F2C2E">
              <w:rPr>
                <w:rFonts w:ascii="Times New Roman" w:hAnsi="Times New Roman"/>
                <w:sz w:val="24"/>
                <w:szCs w:val="24"/>
              </w:rPr>
              <w:t xml:space="preserve"> для Вас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ценам и привести к возникновению у Вас убытков.</w:t>
            </w:r>
          </w:p>
          <w:p w14:paraId="5564741E" w14:textId="77777777" w:rsidR="00A36F28" w:rsidRDefault="00D65723" w:rsidP="00CD0200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>Принудительное закрытие позиции может быть вызвано:</w:t>
            </w:r>
            <w:r w:rsidR="00CD0200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AA8103" w14:textId="6EC4EDFC" w:rsidR="00A36F28" w:rsidRPr="00C114C8" w:rsidRDefault="00A36F28" w:rsidP="00A36F28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114C8">
              <w:rPr>
                <w:rFonts w:ascii="Times New Roman" w:hAnsi="Times New Roman"/>
                <w:sz w:val="24"/>
                <w:szCs w:val="24"/>
              </w:rPr>
              <w:t>изменением значений ставок риска, рассчитываемых клиринговой организацией и (или) используемых брокером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114C8">
              <w:rPr>
                <w:rFonts w:ascii="Times New Roman" w:hAnsi="Times New Roman"/>
                <w:sz w:val="24"/>
                <w:szCs w:val="24"/>
              </w:rPr>
              <w:t xml:space="preserve"> в связи с увеличением волатильности </w:t>
            </w:r>
            <w:r>
              <w:rPr>
                <w:rFonts w:ascii="Times New Roman" w:hAnsi="Times New Roman"/>
                <w:sz w:val="24"/>
                <w:szCs w:val="24"/>
              </w:rPr>
              <w:t>финансовых инструментов;</w:t>
            </w:r>
          </w:p>
          <w:p w14:paraId="4E243F0F" w14:textId="0EE794A7" w:rsidR="00A36F28" w:rsidRPr="00C114C8" w:rsidRDefault="00A36F28" w:rsidP="00A36F28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114C8">
              <w:rPr>
                <w:rFonts w:ascii="Times New Roman" w:hAnsi="Times New Roman"/>
                <w:sz w:val="24"/>
                <w:szCs w:val="24"/>
              </w:rPr>
              <w:t xml:space="preserve">требованиями нормативных актов или внесением </w:t>
            </w:r>
            <w:proofErr w:type="gramStart"/>
            <w:r w:rsidRPr="00C114C8">
              <w:rPr>
                <w:rFonts w:ascii="Times New Roman" w:hAnsi="Times New Roman"/>
                <w:sz w:val="24"/>
                <w:szCs w:val="24"/>
              </w:rPr>
              <w:t>брокером</w:t>
            </w:r>
            <w:proofErr w:type="gramEnd"/>
            <w:r w:rsidRPr="00C114C8">
              <w:rPr>
                <w:rFonts w:ascii="Times New Roman" w:hAnsi="Times New Roman"/>
                <w:sz w:val="24"/>
                <w:szCs w:val="24"/>
              </w:rPr>
              <w:t xml:space="preserve"> или клиринговой организацией в одностороннем порядке изменений в список ценных бумаг, которые могут быть обеспечением </w:t>
            </w:r>
            <w:r>
              <w:rPr>
                <w:rFonts w:ascii="Times New Roman" w:hAnsi="Times New Roman"/>
                <w:sz w:val="24"/>
                <w:szCs w:val="24"/>
              </w:rPr>
              <w:t>исполнения обязательств.</w:t>
            </w:r>
          </w:p>
          <w:p w14:paraId="1D8D60A6" w14:textId="2565E4F2" w:rsidR="00D65723" w:rsidRPr="00400752" w:rsidRDefault="00D65723" w:rsidP="00D6572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>Во всех этих случаях принудительное закрытие позиции может причинить Вам значительные убытки несмотря на то, что после закрытия позиции изменение цен на финансовые инструменты может принять благоприятное для Вас направление, и Вы получили бы доход, если бы Ваша позиция не была закрыта. Размер указанных убытков при неблагоприятном стечении обстоятельств может превысить стоимость находящихся на Вашем счете активов</w:t>
            </w:r>
            <w:r w:rsidR="005F2C2E">
              <w:rPr>
                <w:rFonts w:ascii="Times New Roman" w:hAnsi="Times New Roman"/>
                <w:sz w:val="24"/>
                <w:szCs w:val="24"/>
              </w:rPr>
              <w:t>, что может привести к обязанности уплатить брокеру дополнительные средства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0ECE30" w14:textId="77777777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F08EE3D" w14:textId="6EC5167C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913E5A" w:rsidRPr="0040075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. Риск ликвидности </w:t>
            </w:r>
          </w:p>
          <w:p w14:paraId="19FC84B7" w14:textId="77777777" w:rsidR="00A816DB" w:rsidRPr="00400752" w:rsidRDefault="00A816DB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4A87C17" w14:textId="5D8C01E8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Трудности с закрытием позиций и потери в цене могут привести к </w:t>
            </w:r>
            <w:r w:rsidR="004C0E18">
              <w:rPr>
                <w:rFonts w:ascii="Times New Roman" w:hAnsi="Times New Roman"/>
                <w:sz w:val="24"/>
                <w:szCs w:val="24"/>
              </w:rPr>
              <w:t>более высоким</w:t>
            </w:r>
            <w:r w:rsidR="004C0E18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убытк</w:t>
            </w:r>
            <w:r w:rsidR="005F2C2E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5F2C2E">
              <w:rPr>
                <w:rFonts w:ascii="Times New Roman" w:hAnsi="Times New Roman"/>
                <w:sz w:val="24"/>
                <w:szCs w:val="24"/>
              </w:rPr>
              <w:t xml:space="preserve">операций с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производны</w:t>
            </w:r>
            <w:r w:rsidR="005F2C2E">
              <w:rPr>
                <w:rFonts w:ascii="Times New Roman" w:hAnsi="Times New Roman"/>
                <w:sz w:val="24"/>
                <w:szCs w:val="24"/>
              </w:rPr>
              <w:t>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финансовы</w:t>
            </w:r>
            <w:r w:rsidR="005F2C2E">
              <w:rPr>
                <w:rFonts w:ascii="Times New Roman" w:hAnsi="Times New Roman"/>
                <w:sz w:val="24"/>
                <w:szCs w:val="24"/>
              </w:rPr>
              <w:t>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инструмент</w:t>
            </w:r>
            <w:r w:rsidR="005F2C2E"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по сравнению с </w:t>
            </w:r>
            <w:r w:rsidR="005F2C2E">
              <w:rPr>
                <w:rFonts w:ascii="Times New Roman" w:hAnsi="Times New Roman"/>
                <w:sz w:val="24"/>
                <w:szCs w:val="24"/>
              </w:rPr>
              <w:t xml:space="preserve">убытками от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обычны</w:t>
            </w:r>
            <w:r w:rsidR="005F2C2E">
              <w:rPr>
                <w:rFonts w:ascii="Times New Roman" w:hAnsi="Times New Roman"/>
                <w:sz w:val="24"/>
                <w:szCs w:val="24"/>
              </w:rPr>
              <w:t>х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 сдел</w:t>
            </w:r>
            <w:r w:rsidR="005F2C2E">
              <w:rPr>
                <w:rFonts w:ascii="Times New Roman" w:hAnsi="Times New Roman"/>
                <w:sz w:val="24"/>
                <w:szCs w:val="24"/>
              </w:rPr>
              <w:t>ок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8495580" w14:textId="3C322FEC" w:rsidR="004E5327" w:rsidRPr="00400752" w:rsidRDefault="004E5327" w:rsidP="005F2C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25F93C19" w14:textId="77777777" w:rsidR="004E5327" w:rsidRPr="00400752" w:rsidRDefault="004E5327" w:rsidP="004E5327">
            <w:pPr>
              <w:spacing w:after="100" w:afterAutospacing="1" w:line="360" w:lineRule="auto"/>
              <w:ind w:firstLine="3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>***</w:t>
            </w:r>
          </w:p>
          <w:p w14:paraId="65834B5E" w14:textId="71C68DAA" w:rsidR="004E5327" w:rsidRPr="00400752" w:rsidRDefault="004E5327" w:rsidP="004E5327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Учитывая вышеизложенное, мы рекомендуем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ам внимательно рассмотреть вопрос о том, являются ли риски, возникающие при </w:t>
            </w:r>
            <w:r w:rsidR="005F2C2E">
              <w:rPr>
                <w:rFonts w:ascii="Times New Roman" w:hAnsi="Times New Roman"/>
                <w:sz w:val="24"/>
                <w:szCs w:val="24"/>
              </w:rPr>
              <w:t>заключении договоров, являющихся производными финансовыми инструментами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, приемлемыми для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ас с учетом</w:t>
            </w:r>
            <w:r w:rsidR="00D25029" w:rsidRPr="00400752">
              <w:rPr>
                <w:rFonts w:ascii="Times New Roman" w:hAnsi="Times New Roman"/>
                <w:sz w:val="24"/>
                <w:szCs w:val="24"/>
              </w:rPr>
              <w:t xml:space="preserve"> Ва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ших инвестиционных целей и финансовых возможностей. Данная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д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екларация не имеет своей целью заставить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ас отказаться от осуществления таких операций, а призвана помочь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ам оценить их риски и ответственно подойти к решению вопроса о выборе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ашей инвестиционной стратегии и условий договора с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ашим брокером.</w:t>
            </w:r>
          </w:p>
          <w:p w14:paraId="78EF4F81" w14:textId="5E4AC640" w:rsidR="004E5327" w:rsidRPr="00400752" w:rsidRDefault="004E5327" w:rsidP="004E5327">
            <w:pPr>
              <w:spacing w:after="100" w:afterAutospacing="1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400752">
              <w:rPr>
                <w:rFonts w:ascii="Times New Roman" w:hAnsi="Times New Roman"/>
                <w:sz w:val="24"/>
                <w:szCs w:val="24"/>
              </w:rPr>
              <w:t xml:space="preserve">Убедитесь, что настоящая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д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екларация о рисках понятна </w:t>
            </w:r>
            <w:r w:rsidR="005E71DA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 xml:space="preserve">ам, и при необходимости получите разъяснения у </w:t>
            </w:r>
            <w:r w:rsidR="00D25029" w:rsidRPr="004007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ашего брокера</w:t>
            </w:r>
            <w:r w:rsidR="00A841D6" w:rsidRPr="00400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752">
              <w:rPr>
                <w:rFonts w:ascii="Times New Roman" w:hAnsi="Times New Roman"/>
                <w:sz w:val="24"/>
                <w:szCs w:val="24"/>
              </w:rPr>
              <w:t>или консультанта, специализирующегося на соответствующих вопросах.</w:t>
            </w:r>
          </w:p>
        </w:tc>
      </w:tr>
    </w:tbl>
    <w:p w14:paraId="6A4E9464" w14:textId="77777777" w:rsidR="00B60EF0" w:rsidRPr="00400752" w:rsidRDefault="00B60EF0" w:rsidP="004E5327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B60EF0" w:rsidRPr="00400752" w:rsidSect="0068115A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555EB" w14:textId="77777777" w:rsidR="008E3030" w:rsidRDefault="008E3030" w:rsidP="00B510A9">
      <w:pPr>
        <w:spacing w:after="0" w:line="240" w:lineRule="auto"/>
      </w:pPr>
      <w:r>
        <w:separator/>
      </w:r>
    </w:p>
  </w:endnote>
  <w:endnote w:type="continuationSeparator" w:id="0">
    <w:p w14:paraId="30D9B475" w14:textId="77777777" w:rsidR="008E3030" w:rsidRDefault="008E3030" w:rsidP="00B51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77448" w14:textId="77777777" w:rsidR="008E3030" w:rsidRDefault="008E3030" w:rsidP="00B510A9">
      <w:pPr>
        <w:spacing w:after="0" w:line="240" w:lineRule="auto"/>
      </w:pPr>
      <w:r>
        <w:separator/>
      </w:r>
    </w:p>
  </w:footnote>
  <w:footnote w:type="continuationSeparator" w:id="0">
    <w:p w14:paraId="4C8BECB6" w14:textId="77777777" w:rsidR="008E3030" w:rsidRDefault="008E3030" w:rsidP="00B51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0B88E" w14:textId="33511DF0" w:rsidR="0068115A" w:rsidRPr="0068115A" w:rsidRDefault="0068115A" w:rsidP="0068115A">
    <w:pPr>
      <w:tabs>
        <w:tab w:val="center" w:pos="4677"/>
        <w:tab w:val="right" w:pos="9355"/>
      </w:tabs>
      <w:spacing w:after="0" w:line="240" w:lineRule="auto"/>
      <w:ind w:left="4863" w:hanging="576"/>
      <w:jc w:val="right"/>
      <w:rPr>
        <w:rFonts w:ascii="Times New Roman" w:hAnsi="Times New Roman" w:cs="Calibri"/>
        <w:bCs/>
        <w:i/>
        <w:color w:val="000000"/>
        <w:sz w:val="14"/>
        <w:lang w:eastAsia="ru-RU"/>
      </w:rPr>
    </w:pPr>
    <w:r w:rsidRPr="0068115A">
      <w:rPr>
        <w:rFonts w:ascii="Times New Roman" w:hAnsi="Times New Roman" w:cs="Calibri"/>
        <w:i/>
        <w:color w:val="000000"/>
        <w:sz w:val="14"/>
        <w:lang w:eastAsia="ru-RU"/>
      </w:rPr>
      <w:t>Приложение №</w:t>
    </w:r>
    <w:r>
      <w:rPr>
        <w:rFonts w:ascii="Times New Roman" w:hAnsi="Times New Roman" w:cs="Calibri"/>
        <w:i/>
        <w:color w:val="000000"/>
        <w:sz w:val="14"/>
        <w:lang w:eastAsia="ru-RU"/>
      </w:rPr>
      <w:t>30</w:t>
    </w:r>
    <w:r w:rsidRPr="0068115A">
      <w:rPr>
        <w:rFonts w:ascii="Times New Roman" w:hAnsi="Times New Roman" w:cs="Calibri"/>
        <w:i/>
        <w:color w:val="000000"/>
        <w:sz w:val="14"/>
        <w:lang w:eastAsia="ru-RU"/>
      </w:rPr>
      <w:t xml:space="preserve"> к </w:t>
    </w:r>
    <w:r w:rsidRPr="0068115A">
      <w:rPr>
        <w:rFonts w:ascii="Times New Roman" w:hAnsi="Times New Roman" w:cs="Calibri"/>
        <w:bCs/>
        <w:i/>
        <w:color w:val="000000"/>
        <w:sz w:val="14"/>
        <w:lang w:eastAsia="ru-RU"/>
      </w:rPr>
      <w:t>Регламенту оказания АО «БАНК ОРЕНБУРГ»</w:t>
    </w:r>
  </w:p>
  <w:p w14:paraId="1D86069A" w14:textId="1B650C29" w:rsidR="0068115A" w:rsidRDefault="0068115A" w:rsidP="0068115A">
    <w:pPr>
      <w:pStyle w:val="af"/>
      <w:jc w:val="right"/>
    </w:pPr>
    <w:r w:rsidRPr="0068115A">
      <w:rPr>
        <w:rFonts w:ascii="Times New Roman" w:hAnsi="Times New Roman" w:cs="Calibri"/>
        <w:bCs/>
        <w:i/>
        <w:color w:val="000000"/>
        <w:sz w:val="14"/>
        <w:lang w:eastAsia="ru-RU"/>
      </w:rPr>
      <w:t>брокерских услуг на рынке ценных бумаг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735D1"/>
    <w:multiLevelType w:val="hybridMultilevel"/>
    <w:tmpl w:val="B8204876"/>
    <w:lvl w:ilvl="0" w:tplc="E424DF6C">
      <w:start w:val="1"/>
      <w:numFmt w:val="upperRoman"/>
      <w:lvlText w:val="%1."/>
      <w:lvlJc w:val="left"/>
      <w:pPr>
        <w:ind w:left="3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A9"/>
    <w:rsid w:val="00023D2F"/>
    <w:rsid w:val="000318BA"/>
    <w:rsid w:val="000D6770"/>
    <w:rsid w:val="000F0D04"/>
    <w:rsid w:val="00105B85"/>
    <w:rsid w:val="00114EE7"/>
    <w:rsid w:val="00116062"/>
    <w:rsid w:val="001242DB"/>
    <w:rsid w:val="001A3374"/>
    <w:rsid w:val="002757E3"/>
    <w:rsid w:val="00287D03"/>
    <w:rsid w:val="00292FA9"/>
    <w:rsid w:val="002A2CD5"/>
    <w:rsid w:val="002E0772"/>
    <w:rsid w:val="0034480E"/>
    <w:rsid w:val="003D1243"/>
    <w:rsid w:val="00400752"/>
    <w:rsid w:val="004521DE"/>
    <w:rsid w:val="00485E39"/>
    <w:rsid w:val="004922FC"/>
    <w:rsid w:val="004C0E18"/>
    <w:rsid w:val="004E5327"/>
    <w:rsid w:val="00504B90"/>
    <w:rsid w:val="005E71DA"/>
    <w:rsid w:val="005F166F"/>
    <w:rsid w:val="005F2C2E"/>
    <w:rsid w:val="0068115A"/>
    <w:rsid w:val="006838E6"/>
    <w:rsid w:val="00771C32"/>
    <w:rsid w:val="00774E45"/>
    <w:rsid w:val="007A009F"/>
    <w:rsid w:val="008023C9"/>
    <w:rsid w:val="0081599D"/>
    <w:rsid w:val="008239E6"/>
    <w:rsid w:val="00894719"/>
    <w:rsid w:val="008C0387"/>
    <w:rsid w:val="008E3030"/>
    <w:rsid w:val="00913E5A"/>
    <w:rsid w:val="00933F32"/>
    <w:rsid w:val="009A363C"/>
    <w:rsid w:val="009B4657"/>
    <w:rsid w:val="009B5E3E"/>
    <w:rsid w:val="00A318D1"/>
    <w:rsid w:val="00A36F28"/>
    <w:rsid w:val="00A816DB"/>
    <w:rsid w:val="00A841D6"/>
    <w:rsid w:val="00AD3B92"/>
    <w:rsid w:val="00B340C6"/>
    <w:rsid w:val="00B510A9"/>
    <w:rsid w:val="00B60EF0"/>
    <w:rsid w:val="00B83AF2"/>
    <w:rsid w:val="00B83D2C"/>
    <w:rsid w:val="00BA6590"/>
    <w:rsid w:val="00BF556F"/>
    <w:rsid w:val="00C04708"/>
    <w:rsid w:val="00C24E85"/>
    <w:rsid w:val="00C37F04"/>
    <w:rsid w:val="00C87908"/>
    <w:rsid w:val="00CD0200"/>
    <w:rsid w:val="00D25029"/>
    <w:rsid w:val="00D368B4"/>
    <w:rsid w:val="00D65723"/>
    <w:rsid w:val="00E66B14"/>
    <w:rsid w:val="00ED3E30"/>
    <w:rsid w:val="00ED686C"/>
    <w:rsid w:val="00EF57C9"/>
    <w:rsid w:val="00F969E0"/>
    <w:rsid w:val="00FD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4BA4656"/>
  <w15:docId w15:val="{AF67B688-9C2A-4A09-991D-AC04FE2E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510A9"/>
    <w:pPr>
      <w:autoSpaceDE w:val="0"/>
      <w:autoSpaceDN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510A9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B510A9"/>
    <w:rPr>
      <w:vertAlign w:val="superscript"/>
    </w:rPr>
  </w:style>
  <w:style w:type="paragraph" w:styleId="a6">
    <w:name w:val="List Paragraph"/>
    <w:basedOn w:val="a"/>
    <w:uiPriority w:val="34"/>
    <w:qFormat/>
    <w:rsid w:val="00B83AF2"/>
    <w:pPr>
      <w:spacing w:after="4" w:line="248" w:lineRule="auto"/>
      <w:ind w:left="720" w:right="1135" w:firstLine="364"/>
      <w:contextualSpacing/>
    </w:pPr>
    <w:rPr>
      <w:rFonts w:cs="Calibri"/>
      <w:color w:val="00000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E30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04B9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04B9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04B9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04B9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04B90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EF57C9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344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4480E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44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448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8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</dc:creator>
  <cp:lastModifiedBy>Кравченко Владимир Евгеньевич</cp:lastModifiedBy>
  <cp:revision>3</cp:revision>
  <dcterms:created xsi:type="dcterms:W3CDTF">2025-10-07T07:48:00Z</dcterms:created>
  <dcterms:modified xsi:type="dcterms:W3CDTF">2025-10-13T05:04:00Z</dcterms:modified>
</cp:coreProperties>
</file>